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8A" w:rsidRDefault="00C4365C" w:rsidP="00C4365C">
      <w:pPr>
        <w:jc w:val="right"/>
        <w:rPr>
          <w:b/>
          <w:i/>
          <w:sz w:val="24"/>
          <w:szCs w:val="24"/>
        </w:rPr>
      </w:pPr>
      <w:bookmarkStart w:id="0" w:name="_GoBack"/>
      <w:r w:rsidRPr="00C4365C">
        <w:rPr>
          <w:b/>
          <w:i/>
          <w:sz w:val="24"/>
          <w:szCs w:val="24"/>
        </w:rPr>
        <w:t>Z1_3_1_2</w:t>
      </w:r>
    </w:p>
    <w:bookmarkEnd w:id="0"/>
    <w:p w:rsidR="00C4365C" w:rsidRDefault="00C4365C" w:rsidP="00C4365C">
      <w:pPr>
        <w:jc w:val="both"/>
        <w:rPr>
          <w:b/>
          <w:sz w:val="24"/>
          <w:szCs w:val="24"/>
        </w:rPr>
      </w:pPr>
    </w:p>
    <w:p w:rsidR="00C4365C" w:rsidRPr="00C4365C" w:rsidRDefault="00C4365C" w:rsidP="00C4365C">
      <w:pPr>
        <w:jc w:val="both"/>
        <w:rPr>
          <w:b/>
          <w:sz w:val="28"/>
          <w:szCs w:val="28"/>
        </w:rPr>
      </w:pPr>
      <w:r w:rsidRPr="00C4365C">
        <w:rPr>
          <w:b/>
          <w:sz w:val="28"/>
          <w:szCs w:val="28"/>
        </w:rPr>
        <w:t>Materiał do mini wykładu nt. psychologii zmiany</w:t>
      </w:r>
    </w:p>
    <w:p w:rsidR="00C4365C" w:rsidRDefault="00C4365C" w:rsidP="00C4365C">
      <w:pPr>
        <w:jc w:val="both"/>
        <w:rPr>
          <w:b/>
          <w:sz w:val="24"/>
          <w:szCs w:val="24"/>
        </w:rPr>
      </w:pPr>
    </w:p>
    <w:p w:rsidR="00C4365C" w:rsidRPr="00C4365C" w:rsidRDefault="00C4365C" w:rsidP="00C4365C">
      <w:pPr>
        <w:pStyle w:val="Nagwek2"/>
        <w:numPr>
          <w:ilvl w:val="0"/>
          <w:numId w:val="0"/>
        </w:numPr>
        <w:spacing w:before="120" w:after="120" w:line="360" w:lineRule="auto"/>
        <w:ind w:left="576" w:hanging="576"/>
        <w:rPr>
          <w:rFonts w:ascii="Arial" w:hAnsi="Arial" w:cs="Arial"/>
          <w:i w:val="0"/>
          <w:sz w:val="24"/>
          <w:szCs w:val="24"/>
        </w:rPr>
      </w:pPr>
      <w:bookmarkStart w:id="1" w:name="_Toc375606585"/>
      <w:r w:rsidRPr="00C4365C">
        <w:rPr>
          <w:rFonts w:ascii="Arial" w:hAnsi="Arial" w:cs="Arial"/>
          <w:i w:val="0"/>
          <w:sz w:val="24"/>
          <w:szCs w:val="24"/>
        </w:rPr>
        <w:t xml:space="preserve">Modele </w:t>
      </w:r>
      <w:r w:rsidRPr="00C4365C">
        <w:rPr>
          <w:rFonts w:ascii="Arial" w:hAnsi="Arial" w:cs="Arial"/>
          <w:i w:val="0"/>
          <w:sz w:val="24"/>
          <w:szCs w:val="24"/>
          <w:lang w:val="pl-PL"/>
        </w:rPr>
        <w:t xml:space="preserve">zarządzania </w:t>
      </w:r>
      <w:r w:rsidRPr="00C4365C">
        <w:rPr>
          <w:rFonts w:ascii="Arial" w:hAnsi="Arial" w:cs="Arial"/>
          <w:i w:val="0"/>
          <w:sz w:val="24"/>
          <w:szCs w:val="24"/>
        </w:rPr>
        <w:t>zmian</w:t>
      </w:r>
      <w:r w:rsidRPr="00C4365C">
        <w:rPr>
          <w:rFonts w:ascii="Arial" w:hAnsi="Arial" w:cs="Arial"/>
          <w:i w:val="0"/>
          <w:sz w:val="24"/>
          <w:szCs w:val="24"/>
          <w:lang w:val="pl-PL"/>
        </w:rPr>
        <w:t>ą</w:t>
      </w:r>
      <w:bookmarkEnd w:id="1"/>
    </w:p>
    <w:p w:rsidR="00C4365C" w:rsidRPr="00C4365C" w:rsidRDefault="00C4365C" w:rsidP="00C4365C">
      <w:pPr>
        <w:spacing w:before="120" w:after="120" w:line="360" w:lineRule="auto"/>
        <w:rPr>
          <w:bCs/>
          <w:sz w:val="24"/>
          <w:szCs w:val="24"/>
        </w:rPr>
      </w:pPr>
      <w:r w:rsidRPr="00C4365C">
        <w:rPr>
          <w:bCs/>
          <w:sz w:val="24"/>
          <w:szCs w:val="24"/>
        </w:rPr>
        <w:t xml:space="preserve">Najbardziej popularnymi modelami zarządzania zmianą są: </w:t>
      </w:r>
    </w:p>
    <w:p w:rsidR="00C4365C" w:rsidRPr="00C4365C" w:rsidRDefault="00C4365C" w:rsidP="00C4365C">
      <w:pPr>
        <w:numPr>
          <w:ilvl w:val="0"/>
          <w:numId w:val="3"/>
        </w:numPr>
        <w:spacing w:before="120" w:after="120" w:line="360" w:lineRule="auto"/>
        <w:rPr>
          <w:bCs/>
          <w:sz w:val="24"/>
          <w:szCs w:val="24"/>
        </w:rPr>
      </w:pPr>
      <w:r w:rsidRPr="00C4365C">
        <w:rPr>
          <w:bCs/>
          <w:sz w:val="24"/>
          <w:szCs w:val="24"/>
        </w:rPr>
        <w:t>Koncepcja pola sił Kurta Lewina;</w:t>
      </w:r>
    </w:p>
    <w:p w:rsidR="00C4365C" w:rsidRPr="00C4365C" w:rsidRDefault="00C4365C" w:rsidP="00C4365C">
      <w:pPr>
        <w:numPr>
          <w:ilvl w:val="0"/>
          <w:numId w:val="3"/>
        </w:numPr>
        <w:spacing w:before="120" w:after="120" w:line="360" w:lineRule="auto"/>
        <w:rPr>
          <w:bCs/>
          <w:sz w:val="24"/>
          <w:szCs w:val="24"/>
        </w:rPr>
      </w:pPr>
      <w:r w:rsidRPr="00C4365C">
        <w:rPr>
          <w:bCs/>
          <w:sz w:val="24"/>
          <w:szCs w:val="24"/>
        </w:rPr>
        <w:t>8 faz zmiany Johna Kottera.</w:t>
      </w:r>
    </w:p>
    <w:p w:rsidR="00C4365C" w:rsidRPr="00C4365C" w:rsidRDefault="00C4365C" w:rsidP="00C4365C">
      <w:pPr>
        <w:spacing w:before="120" w:after="120" w:line="360" w:lineRule="auto"/>
        <w:rPr>
          <w:sz w:val="24"/>
          <w:szCs w:val="24"/>
          <w:lang/>
        </w:rPr>
      </w:pPr>
    </w:p>
    <w:p w:rsidR="00C4365C" w:rsidRPr="00C4365C" w:rsidRDefault="00C4365C" w:rsidP="00C4365C">
      <w:pPr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C4365C">
        <w:rPr>
          <w:b/>
          <w:bCs/>
          <w:sz w:val="24"/>
          <w:szCs w:val="24"/>
        </w:rPr>
        <w:t>TEORIA ZMIANY KURTA LEWINA</w:t>
      </w:r>
      <w:r w:rsidRPr="00C4365C">
        <w:rPr>
          <w:rStyle w:val="Odwoanieprzypisudolnego"/>
          <w:b/>
          <w:bCs/>
          <w:sz w:val="24"/>
          <w:szCs w:val="24"/>
        </w:rPr>
        <w:footnoteReference w:id="1"/>
      </w:r>
    </w:p>
    <w:p w:rsidR="00C4365C" w:rsidRPr="00C4365C" w:rsidRDefault="00C4365C" w:rsidP="00C4365C">
      <w:pPr>
        <w:spacing w:before="120" w:after="120" w:line="360" w:lineRule="auto"/>
        <w:jc w:val="both"/>
        <w:rPr>
          <w:sz w:val="24"/>
          <w:szCs w:val="24"/>
        </w:rPr>
      </w:pPr>
      <w:r w:rsidRPr="00C4365C">
        <w:rPr>
          <w:rStyle w:val="c27"/>
          <w:bCs/>
          <w:sz w:val="24"/>
          <w:szCs w:val="24"/>
        </w:rPr>
        <w:t>Zdaniem niemieckiego psychologa Kurta Lewina, przy w</w:t>
      </w:r>
      <w:r w:rsidR="009350B8">
        <w:rPr>
          <w:sz w:val="24"/>
          <w:szCs w:val="24"/>
        </w:rPr>
        <w:t>drażaniu zmiany w </w:t>
      </w:r>
      <w:r w:rsidRPr="00C4365C">
        <w:rPr>
          <w:sz w:val="24"/>
          <w:szCs w:val="24"/>
        </w:rPr>
        <w:t xml:space="preserve">organizacji, przede wszystkim trzeba </w:t>
      </w:r>
      <w:r w:rsidR="009350B8">
        <w:rPr>
          <w:sz w:val="24"/>
          <w:szCs w:val="24"/>
        </w:rPr>
        <w:t>się skoncentrować na emocjach i </w:t>
      </w:r>
      <w:r w:rsidRPr="00C4365C">
        <w:rPr>
          <w:sz w:val="24"/>
          <w:szCs w:val="24"/>
        </w:rPr>
        <w:t>zachowaniach ludzi tam pracujących. Od nich bowiem będzie zależało powodzenie całego przedsięwzięcia. Wiemy natomiast, że tam gdzie w grę wchodzą emocje – zwłaszcza skumulowane i dotyczące dużych zespołów - tam można oczekiwać wszystkich możliwych scenariuszy przeprowadzania przez zmianę. Podstawowe mechanizmy zarządzania zmianą wskazane przez Lewina to:</w:t>
      </w:r>
    </w:p>
    <w:p w:rsidR="00C4365C" w:rsidRPr="00C4365C" w:rsidRDefault="00C4365C" w:rsidP="00C4365C">
      <w:pPr>
        <w:spacing w:before="120" w:after="12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spacing w:before="120" w:after="120" w:line="360" w:lineRule="auto"/>
        <w:jc w:val="both"/>
        <w:rPr>
          <w:sz w:val="24"/>
          <w:szCs w:val="24"/>
        </w:rPr>
      </w:pPr>
      <w:r w:rsidRPr="00C4365C">
        <w:rPr>
          <w:b/>
          <w:sz w:val="24"/>
          <w:szCs w:val="24"/>
        </w:rPr>
        <w:t>Rozmrażanie</w:t>
      </w:r>
      <w:r w:rsidRPr="00C4365C">
        <w:rPr>
          <w:sz w:val="24"/>
          <w:szCs w:val="24"/>
        </w:rPr>
        <w:t xml:space="preserve"> – szereg działań zmierzających do wzbudzenia w ludziach akceptacji wysiłku jaki trzeba podjąć celem przejścia przez zm</w:t>
      </w:r>
      <w:r w:rsidR="009350B8">
        <w:rPr>
          <w:sz w:val="24"/>
          <w:szCs w:val="24"/>
        </w:rPr>
        <w:t>ianę. Jest to o tyle trudne, że </w:t>
      </w:r>
      <w:r w:rsidRPr="00C4365C">
        <w:rPr>
          <w:sz w:val="24"/>
          <w:szCs w:val="24"/>
        </w:rPr>
        <w:t xml:space="preserve">ludzie mają skłonność do trwania w sytuacji, która zapewnia im poczucie względnego bezpieczeństwa i kontroli. Niewiele osób lubi zmiany. One bowiem burzą dotychczasową równowagę i zakłócają poczucie bezpieczeństwa. Ponadto wymagają zmiany nawyków, które wykształcili przez lata. A zatem: proces rozmrażania będzie się wiązał z konfrontowaniem się z silnymi reakcjami i emocjami osób, wobec których zmiana jest adresowana. </w:t>
      </w:r>
    </w:p>
    <w:p w:rsidR="00C4365C" w:rsidRP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C4365C">
        <w:rPr>
          <w:b/>
          <w:sz w:val="24"/>
          <w:szCs w:val="24"/>
        </w:rPr>
        <w:lastRenderedPageBreak/>
        <w:t>Zmiana/przejście</w:t>
      </w:r>
      <w:r w:rsidRPr="00C4365C">
        <w:rPr>
          <w:sz w:val="24"/>
          <w:szCs w:val="24"/>
        </w:rPr>
        <w:t xml:space="preserve"> – to czas kiedy stary porządek ustępuje nowemu. Kluczowe znaczenie ma tu przemiana postaw, ciągłe kom</w:t>
      </w:r>
      <w:r w:rsidR="009350B8">
        <w:rPr>
          <w:sz w:val="24"/>
          <w:szCs w:val="24"/>
        </w:rPr>
        <w:t>unikowanie i wspieranie ludzi w </w:t>
      </w:r>
      <w:r w:rsidRPr="00C4365C">
        <w:rPr>
          <w:sz w:val="24"/>
          <w:szCs w:val="24"/>
        </w:rPr>
        <w:t>wysiłkach, m.in. monitorowanie postępów, angażowanie jak największej liczby osób w proces zmian. Ludzie powinni utożsamiać się z celem i sensem zachodzących zmian. Kluczowym elementem modelu Lewina jest stwierdzenie, że zmiana - nawet poziomie psychologicznym – jest zawsze pewną drogą, a nie pojedynczym krokiem.</w:t>
      </w:r>
    </w:p>
    <w:p w:rsidR="00C4365C" w:rsidRPr="00C4365C" w:rsidRDefault="00C4365C" w:rsidP="00C4365C">
      <w:pPr>
        <w:spacing w:before="120" w:after="120" w:line="360" w:lineRule="auto"/>
        <w:jc w:val="both"/>
        <w:rPr>
          <w:bCs/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C4365C">
        <w:rPr>
          <w:b/>
          <w:sz w:val="24"/>
          <w:szCs w:val="24"/>
        </w:rPr>
        <w:t>Zamrożenie</w:t>
      </w:r>
      <w:r w:rsidRPr="00C4365C">
        <w:rPr>
          <w:sz w:val="24"/>
          <w:szCs w:val="24"/>
        </w:rPr>
        <w:t xml:space="preserve"> – to szereg działań, które zmierzają do stabilizowania zmiany poprzez utrwalanie nowych reakcji w osobowości zainteresow</w:t>
      </w:r>
      <w:r w:rsidR="009350B8">
        <w:rPr>
          <w:sz w:val="24"/>
          <w:szCs w:val="24"/>
        </w:rPr>
        <w:t>anych. Zmianę należy utrwalić i </w:t>
      </w:r>
      <w:r w:rsidRPr="00C4365C">
        <w:rPr>
          <w:sz w:val="24"/>
          <w:szCs w:val="24"/>
        </w:rPr>
        <w:t>spowodować, aby stałą się nowym porządkiem.</w:t>
      </w:r>
    </w:p>
    <w:p w:rsidR="00C4365C" w:rsidRDefault="00C4365C" w:rsidP="00C4365C">
      <w:pPr>
        <w:spacing w:line="360" w:lineRule="auto"/>
        <w:jc w:val="center"/>
        <w:rPr>
          <w:sz w:val="24"/>
          <w:szCs w:val="24"/>
        </w:rPr>
      </w:pPr>
      <w:r w:rsidRPr="00C4365C">
        <w:rPr>
          <w:noProof/>
          <w:sz w:val="24"/>
          <w:szCs w:val="24"/>
          <w:lang w:eastAsia="pl-PL"/>
        </w:rPr>
        <w:drawing>
          <wp:inline distT="0" distB="0" distL="0" distR="0">
            <wp:extent cx="5257800" cy="7524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524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ABF8F"/>
                        </a:gs>
                        <a:gs pos="100000">
                          <a:srgbClr val="FBD4B4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C4" w:rsidRPr="00C4365C" w:rsidRDefault="005574C4" w:rsidP="005574C4">
      <w:pPr>
        <w:pStyle w:val="formularztekstbezwciecia"/>
        <w:spacing w:line="276" w:lineRule="auto"/>
        <w:rPr>
          <w:rFonts w:ascii="Arial" w:hAnsi="Arial" w:cs="Arial"/>
          <w:bCs/>
          <w:color w:val="auto"/>
          <w:sz w:val="18"/>
          <w:szCs w:val="18"/>
        </w:rPr>
      </w:pPr>
      <w:r w:rsidRPr="00C4365C">
        <w:rPr>
          <w:rFonts w:ascii="Arial" w:hAnsi="Arial" w:cs="Arial"/>
          <w:bCs/>
          <w:color w:val="auto"/>
          <w:sz w:val="18"/>
          <w:szCs w:val="18"/>
        </w:rPr>
        <w:t xml:space="preserve">Źródło: </w:t>
      </w:r>
      <w:r w:rsidRPr="005574C4">
        <w:rPr>
          <w:rFonts w:ascii="Arial" w:hAnsi="Arial" w:cs="Arial"/>
          <w:bCs/>
          <w:color w:val="auto"/>
          <w:sz w:val="18"/>
          <w:szCs w:val="18"/>
        </w:rPr>
        <w:t>I. Kazimierska na podstawie materiałów szkoleniowych firmy Moderator – dr Sławomir Jarmuż, Wrocław 2010.</w:t>
      </w:r>
    </w:p>
    <w:p w:rsidR="00C4365C" w:rsidRPr="00C4365C" w:rsidRDefault="00C4365C" w:rsidP="00C4365C">
      <w:pPr>
        <w:spacing w:line="360" w:lineRule="auto"/>
        <w:jc w:val="center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Aby zmiana była wdrożona z sukcesem, wszystkie trzy kroki powinny być świadomie moderowane z uwzględnieniem wszelkich działań zaradczych w sytuacjach kryzysowych i konfliktowych. W zmianie trzeba jednak</w:t>
      </w:r>
      <w:r w:rsidR="009350B8">
        <w:rPr>
          <w:sz w:val="24"/>
          <w:szCs w:val="24"/>
        </w:rPr>
        <w:t xml:space="preserve"> dać sobie czas i zgodzić się z </w:t>
      </w:r>
      <w:r w:rsidRPr="00C4365C">
        <w:rPr>
          <w:sz w:val="24"/>
          <w:szCs w:val="24"/>
        </w:rPr>
        <w:t>faktem, że przejściowo będzie gorzej.</w:t>
      </w:r>
    </w:p>
    <w:p w:rsidR="00C4365C" w:rsidRPr="00C4365C" w:rsidRDefault="00C4365C" w:rsidP="00C4365C">
      <w:pPr>
        <w:spacing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spacing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Kurt Lewin podkreśla, że ludzie zmienią swoje:</w:t>
      </w:r>
    </w:p>
    <w:p w:rsidR="00C4365C" w:rsidRPr="00C4365C" w:rsidRDefault="00C4365C" w:rsidP="00C4365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C4365C">
        <w:rPr>
          <w:sz w:val="24"/>
          <w:szCs w:val="24"/>
          <w:u w:val="single"/>
        </w:rPr>
        <w:t>postawy</w:t>
      </w:r>
      <w:r w:rsidRPr="00C4365C">
        <w:rPr>
          <w:sz w:val="24"/>
          <w:szCs w:val="24"/>
        </w:rPr>
        <w:t>, jeżeli wyraźnie rozpatrzone zostaną źródła ich oporu. Tego rodzaju podejście zapewnia przede wszystkim akceptację, k</w:t>
      </w:r>
      <w:r w:rsidR="00740704">
        <w:rPr>
          <w:sz w:val="24"/>
          <w:szCs w:val="24"/>
        </w:rPr>
        <w:t>tórą trudniej uzyskać, ale </w:t>
      </w:r>
      <w:r w:rsidRPr="00C4365C">
        <w:rPr>
          <w:sz w:val="24"/>
          <w:szCs w:val="24"/>
        </w:rPr>
        <w:t>w zamian za to niesie ze sobą trwałe i prawdziwe zaangażowanie</w:t>
      </w:r>
    </w:p>
    <w:p w:rsidR="00C4365C" w:rsidRPr="00C4365C" w:rsidRDefault="00C4365C" w:rsidP="00C4365C">
      <w:pPr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  <w:u w:val="single"/>
        </w:rPr>
      </w:pPr>
      <w:r w:rsidRPr="00C4365C">
        <w:rPr>
          <w:sz w:val="24"/>
          <w:szCs w:val="24"/>
          <w:u w:val="single"/>
        </w:rPr>
        <w:t>zachowania</w:t>
      </w:r>
      <w:r w:rsidRPr="00C4365C">
        <w:rPr>
          <w:sz w:val="24"/>
          <w:szCs w:val="24"/>
        </w:rPr>
        <w:t>, w sytuacji gdy zmiana zostanie na nich wymuszona, przedstawiona jako „fakt dokonany" bez jakiejkolwiek konsultacji lub tylko pobieżnie wyjaśniona. W takim przypadku uzyskujemy tylko dostosowanie się - nie akceptację - z ich strony, a opór pozostanie.</w:t>
      </w:r>
    </w:p>
    <w:p w:rsidR="00C4365C" w:rsidRPr="00C4365C" w:rsidRDefault="00C4365C" w:rsidP="00C4365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spacing w:line="360" w:lineRule="auto"/>
        <w:jc w:val="both"/>
        <w:rPr>
          <w:bCs/>
          <w:sz w:val="24"/>
          <w:szCs w:val="24"/>
        </w:rPr>
      </w:pPr>
      <w:r w:rsidRPr="00C4365C">
        <w:rPr>
          <w:bCs/>
          <w:sz w:val="24"/>
          <w:szCs w:val="24"/>
        </w:rPr>
        <w:lastRenderedPageBreak/>
        <w:t>W każdym programie zmiany realizowanej w organizacji można wskazać moment przełomowy, cechujący się tym, że siły napędzające równoważną się z siłami dążącymi do utrzymania status quo.</w:t>
      </w:r>
    </w:p>
    <w:p w:rsidR="00C4365C" w:rsidRPr="00C4365C" w:rsidRDefault="00C4365C" w:rsidP="00C4365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 xml:space="preserve">Kurt Lewin zaproponował metodologię analizy zmiany, którą nazwał „koncepcją pola sił”. Zdaniem Lewina wprowadzanie zmian to oddziaływanie na siebie dwóch sił: sprzyjających i hamujących. Siły te działają na siebie jak sprężyna. Im bardziej się naciska, tym bardziej odskakuje – tym silniejszą reakcję uzyskujemy w odpowiedzi na nasze działania. </w:t>
      </w:r>
    </w:p>
    <w:p w:rsidR="00C4365C" w:rsidRPr="00C4365C" w:rsidRDefault="00C4365C" w:rsidP="00C4365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Często popełnianym błędem przy wprowadzaniu zmiany jest to, że od razu podejmuje się kroki aby przeprowadzić zmianę, natomiast nie przygotowuje się ludzi do zmiany. Skuteczna zmiana powinna natomias</w:t>
      </w:r>
      <w:r w:rsidR="009350B8">
        <w:rPr>
          <w:sz w:val="24"/>
          <w:szCs w:val="24"/>
        </w:rPr>
        <w:t>t uwzględniać siły działające w </w:t>
      </w:r>
      <w:r w:rsidRPr="00C4365C">
        <w:rPr>
          <w:sz w:val="24"/>
          <w:szCs w:val="24"/>
        </w:rPr>
        <w:t>całym polu. Oznacza to konieczność ukierunkowania wszystkich sił w jedną stronę. To daje szansę że cała energia i zaanga</w:t>
      </w:r>
      <w:r w:rsidR="009350B8">
        <w:rPr>
          <w:sz w:val="24"/>
          <w:szCs w:val="24"/>
        </w:rPr>
        <w:t>żowanie zostaną wykorzystane na </w:t>
      </w:r>
      <w:r w:rsidRPr="00C4365C">
        <w:rPr>
          <w:sz w:val="24"/>
          <w:szCs w:val="24"/>
        </w:rPr>
        <w:t>przeprowadzanie zmian, a nie na walkę z oporem.</w:t>
      </w:r>
    </w:p>
    <w:p w:rsidR="00C4365C" w:rsidRPr="00C4365C" w:rsidRDefault="00C4365C" w:rsidP="00C4365C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C4365C">
        <w:rPr>
          <w:noProof/>
          <w:sz w:val="24"/>
          <w:szCs w:val="24"/>
          <w:lang w:eastAsia="pl-PL"/>
        </w:rPr>
        <w:drawing>
          <wp:inline distT="0" distB="0" distL="0" distR="0">
            <wp:extent cx="5562600" cy="3057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57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ABF8F">
                            <a:alpha val="94000"/>
                          </a:srgbClr>
                        </a:gs>
                        <a:gs pos="100000">
                          <a:srgbClr val="FBD4B4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5C" w:rsidRPr="00C4365C" w:rsidRDefault="005574C4" w:rsidP="00C4365C">
      <w:pPr>
        <w:pStyle w:val="formularztytul2"/>
        <w:spacing w:before="0" w:after="0" w:line="276" w:lineRule="auto"/>
        <w:jc w:val="both"/>
        <w:rPr>
          <w:rFonts w:ascii="Arial" w:hAnsi="Arial" w:cs="Arial"/>
          <w:b w:val="0"/>
          <w:bCs/>
          <w:color w:val="auto"/>
          <w:sz w:val="18"/>
          <w:szCs w:val="18"/>
        </w:rPr>
      </w:pPr>
      <w:r>
        <w:rPr>
          <w:rFonts w:ascii="Arial" w:hAnsi="Arial" w:cs="Arial"/>
          <w:b w:val="0"/>
          <w:bCs/>
          <w:color w:val="auto"/>
          <w:sz w:val="18"/>
          <w:szCs w:val="18"/>
        </w:rPr>
        <w:t>Rys. 2</w:t>
      </w:r>
      <w:r w:rsidR="00C4365C" w:rsidRPr="00C4365C">
        <w:rPr>
          <w:rFonts w:ascii="Arial" w:hAnsi="Arial" w:cs="Arial"/>
          <w:b w:val="0"/>
          <w:bCs/>
          <w:color w:val="auto"/>
          <w:sz w:val="18"/>
          <w:szCs w:val="18"/>
        </w:rPr>
        <w:t>. Siły napędzające i hamujące/zewnętrzne i hamujące.</w:t>
      </w:r>
    </w:p>
    <w:p w:rsidR="00C4365C" w:rsidRPr="00C4365C" w:rsidRDefault="00C4365C" w:rsidP="00C4365C">
      <w:pPr>
        <w:pStyle w:val="formularztekstbezwciecia"/>
        <w:spacing w:line="276" w:lineRule="auto"/>
        <w:rPr>
          <w:rFonts w:ascii="Arial" w:hAnsi="Arial" w:cs="Arial"/>
          <w:bCs/>
          <w:color w:val="auto"/>
          <w:sz w:val="18"/>
          <w:szCs w:val="18"/>
        </w:rPr>
      </w:pPr>
      <w:r w:rsidRPr="00C4365C">
        <w:rPr>
          <w:rFonts w:ascii="Arial" w:hAnsi="Arial" w:cs="Arial"/>
          <w:bCs/>
          <w:color w:val="auto"/>
          <w:sz w:val="18"/>
          <w:szCs w:val="18"/>
        </w:rPr>
        <w:t xml:space="preserve">Źródło: </w:t>
      </w:r>
      <w:r w:rsidR="005574C4" w:rsidRPr="005574C4">
        <w:rPr>
          <w:rFonts w:ascii="Arial" w:hAnsi="Arial" w:cs="Arial"/>
          <w:bCs/>
          <w:color w:val="auto"/>
          <w:sz w:val="18"/>
          <w:szCs w:val="18"/>
        </w:rPr>
        <w:t>I. Kazimierska na podstawie materiałów szkoleniowych firmy Moderator – dr Sławomir Jarmuż, Wrocław 2010.</w:t>
      </w:r>
    </w:p>
    <w:p w:rsidR="00C4365C" w:rsidRPr="00C4365C" w:rsidRDefault="00C4365C" w:rsidP="00C4365C">
      <w:pPr>
        <w:pStyle w:val="formularztekstbezwciecia"/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C4365C" w:rsidRPr="00C4365C" w:rsidRDefault="00C4365C" w:rsidP="00C4365C">
      <w:pPr>
        <w:pStyle w:val="formularztekstbezwciecia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C4365C" w:rsidRPr="00C4365C" w:rsidRDefault="00C4365C" w:rsidP="00C4365C">
      <w:pPr>
        <w:pStyle w:val="formularztekstbezwciecia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4365C">
        <w:rPr>
          <w:rFonts w:ascii="Arial" w:hAnsi="Arial" w:cs="Arial"/>
          <w:color w:val="auto"/>
          <w:sz w:val="24"/>
          <w:szCs w:val="24"/>
        </w:rPr>
        <w:t>Analiza pola sił to metoda oceny sił oddziałujących na dany problem lub kwestię. Niektóre siły wspierają rozwiązanie problemu (siły napędzające), inne mogą utrudniać jego wyeliminowanie (siły hamujące).</w:t>
      </w:r>
    </w:p>
    <w:p w:rsidR="00C4365C" w:rsidRPr="00C4365C" w:rsidRDefault="00C4365C" w:rsidP="00C4365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C4365C">
        <w:rPr>
          <w:b/>
          <w:bCs/>
          <w:sz w:val="24"/>
          <w:szCs w:val="24"/>
        </w:rPr>
        <w:t>ANALIZA POLA SIŁ</w:t>
      </w:r>
    </w:p>
    <w:p w:rsidR="00C4365C" w:rsidRPr="00C4365C" w:rsidRDefault="00C4365C" w:rsidP="00C4365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4365C">
        <w:rPr>
          <w:noProof/>
          <w:sz w:val="24"/>
          <w:szCs w:val="24"/>
          <w:lang w:eastAsia="pl-PL"/>
        </w:rPr>
        <w:drawing>
          <wp:inline distT="0" distB="0" distL="0" distR="0">
            <wp:extent cx="609600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5C" w:rsidRPr="00C4365C" w:rsidRDefault="00C4365C" w:rsidP="00C4365C">
      <w:pPr>
        <w:pStyle w:val="formularztytul2"/>
        <w:spacing w:before="0" w:after="0" w:line="276" w:lineRule="auto"/>
        <w:jc w:val="both"/>
        <w:rPr>
          <w:rFonts w:ascii="Arial" w:hAnsi="Arial" w:cs="Arial"/>
          <w:b w:val="0"/>
          <w:bCs/>
          <w:color w:val="auto"/>
          <w:sz w:val="24"/>
          <w:szCs w:val="24"/>
        </w:rPr>
      </w:pPr>
    </w:p>
    <w:p w:rsidR="00C4365C" w:rsidRPr="00C4365C" w:rsidRDefault="00C4365C" w:rsidP="00C4365C">
      <w:pPr>
        <w:pStyle w:val="formularztytul2"/>
        <w:spacing w:before="0" w:after="0" w:line="276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C4365C">
        <w:rPr>
          <w:rFonts w:ascii="Arial" w:hAnsi="Arial" w:cs="Arial"/>
          <w:b w:val="0"/>
          <w:bCs/>
          <w:color w:val="auto"/>
          <w:sz w:val="20"/>
          <w:szCs w:val="20"/>
        </w:rPr>
        <w:t>Rys. 1 Siły napędzające i hamujące</w:t>
      </w:r>
    </w:p>
    <w:p w:rsidR="00C4365C" w:rsidRPr="009350B8" w:rsidRDefault="00C4365C" w:rsidP="00C4365C">
      <w:pPr>
        <w:spacing w:line="276" w:lineRule="auto"/>
        <w:jc w:val="both"/>
        <w:rPr>
          <w:bCs/>
          <w:sz w:val="20"/>
          <w:szCs w:val="20"/>
        </w:rPr>
      </w:pPr>
      <w:r w:rsidRPr="009350B8">
        <w:rPr>
          <w:bCs/>
          <w:sz w:val="20"/>
          <w:szCs w:val="20"/>
        </w:rPr>
        <w:t>Źródło: Cannon J.A., McGee R., (2012, s. 59).</w:t>
      </w:r>
    </w:p>
    <w:p w:rsidR="00C4365C" w:rsidRDefault="00C4365C" w:rsidP="00C4365C">
      <w:pPr>
        <w:jc w:val="both"/>
        <w:rPr>
          <w:b/>
          <w:i/>
          <w:sz w:val="24"/>
          <w:szCs w:val="24"/>
        </w:rPr>
      </w:pPr>
    </w:p>
    <w:p w:rsidR="00C4365C" w:rsidRDefault="00C4365C" w:rsidP="00C4365C">
      <w:pPr>
        <w:jc w:val="both"/>
        <w:rPr>
          <w:b/>
          <w:i/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C4365C">
        <w:rPr>
          <w:b/>
          <w:bCs/>
          <w:sz w:val="24"/>
          <w:szCs w:val="24"/>
        </w:rPr>
        <w:t>FAZY PRZECHODZENIA PRZEZ ZMIANY WEDŁUG KOTTERA</w:t>
      </w:r>
      <w:r>
        <w:rPr>
          <w:rStyle w:val="Odwoanieprzypisudolnego"/>
          <w:b/>
          <w:bCs/>
          <w:sz w:val="24"/>
          <w:szCs w:val="24"/>
        </w:rPr>
        <w:footnoteReference w:id="2"/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Inny model przechodzenia przez zmianę opracował John Kotter, profesor</w:t>
      </w:r>
      <w:r>
        <w:rPr>
          <w:sz w:val="24"/>
          <w:szCs w:val="24"/>
        </w:rPr>
        <w:t xml:space="preserve"> Harvard Business School, jeden </w:t>
      </w:r>
      <w:r w:rsidRPr="00C4365C">
        <w:rPr>
          <w:sz w:val="24"/>
          <w:szCs w:val="24"/>
        </w:rPr>
        <w:t>z największych autorytetów w dziedzinie wprowadzania zmian w organi</w:t>
      </w:r>
      <w:r>
        <w:rPr>
          <w:sz w:val="24"/>
          <w:szCs w:val="24"/>
        </w:rPr>
        <w:t xml:space="preserve">zacjach. Wraz ze swoim zespołem </w:t>
      </w:r>
      <w:r w:rsidRPr="00C4365C">
        <w:rPr>
          <w:sz w:val="24"/>
          <w:szCs w:val="24"/>
        </w:rPr>
        <w:t>przeanalizował ponad 800 przypadków wdrażania znaczących zmian w organiza</w:t>
      </w:r>
      <w:r>
        <w:rPr>
          <w:sz w:val="24"/>
          <w:szCs w:val="24"/>
        </w:rPr>
        <w:t xml:space="preserve">cjach na całym świecie. Okazało </w:t>
      </w:r>
      <w:r w:rsidRPr="00C4365C">
        <w:rPr>
          <w:sz w:val="24"/>
          <w:szCs w:val="24"/>
        </w:rPr>
        <w:t xml:space="preserve">się, że ok. 70 proc. przypadków wdrożenia zmiany było nieudanych. </w:t>
      </w:r>
      <w:r>
        <w:rPr>
          <w:sz w:val="24"/>
          <w:szCs w:val="24"/>
        </w:rPr>
        <w:t xml:space="preserve">A tam, gdzie odniesiono sukces, </w:t>
      </w:r>
      <w:r w:rsidRPr="00C4365C">
        <w:rPr>
          <w:sz w:val="24"/>
          <w:szCs w:val="24"/>
        </w:rPr>
        <w:t>postępowano mniej więcej zgodnie z opisanymi poniżej krokami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OSIEM KROKÓW SKUTECZNEJ ZMIANY: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1. UŚWIADOMIENIE PILNEJ POTRZEBY WPROWADZANIA ZMIANY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W pierwszym kroku należy uświadomić potrzebę zmiany przede wszystkim</w:t>
      </w:r>
      <w:r>
        <w:rPr>
          <w:sz w:val="24"/>
          <w:szCs w:val="24"/>
        </w:rPr>
        <w:t xml:space="preserve"> tym ludziom, od których będzie </w:t>
      </w:r>
      <w:r w:rsidRPr="00C4365C">
        <w:rPr>
          <w:sz w:val="24"/>
          <w:szCs w:val="24"/>
        </w:rPr>
        <w:t>zależało skuteczne jej wprowadzenie. Filozofia wprowadzania zmian oparta jest często na schemacie: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przeanalizować - zrozumieć - zmienić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lastRenderedPageBreak/>
        <w:t>Schemat ten rzadko zdaje egzamin, ponieważ nie uwzględnia emocjonalnego aspekt</w:t>
      </w:r>
      <w:r>
        <w:rPr>
          <w:sz w:val="24"/>
          <w:szCs w:val="24"/>
        </w:rPr>
        <w:t xml:space="preserve">u postaw ludzi. Skuteczniejszym </w:t>
      </w:r>
      <w:r w:rsidRPr="00C4365C">
        <w:rPr>
          <w:sz w:val="24"/>
          <w:szCs w:val="24"/>
        </w:rPr>
        <w:t>podejściem jest schemat: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zobaczyć - odczuć -</w:t>
      </w:r>
      <w:r w:rsidRPr="00C4365C">
        <w:rPr>
          <w:b/>
          <w:sz w:val="24"/>
          <w:szCs w:val="24"/>
        </w:rPr>
        <w:t xml:space="preserve"> zmienić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Wywołanie emocji (często negatywnych i niekomfortowych) na tym etapie j</w:t>
      </w:r>
      <w:r>
        <w:rPr>
          <w:sz w:val="24"/>
          <w:szCs w:val="24"/>
        </w:rPr>
        <w:t xml:space="preserve">est kluczowe. Celem zmiany jest </w:t>
      </w:r>
      <w:r w:rsidRPr="00C4365C">
        <w:rPr>
          <w:sz w:val="24"/>
          <w:szCs w:val="24"/>
        </w:rPr>
        <w:t>uświadomi</w:t>
      </w:r>
      <w:r w:rsidR="009350B8">
        <w:rPr>
          <w:sz w:val="24"/>
          <w:szCs w:val="24"/>
        </w:rPr>
        <w:t>enie NIEUCHRONNOŚCI, PILNOŚCI I </w:t>
      </w:r>
      <w:r w:rsidRPr="00C4365C">
        <w:rPr>
          <w:sz w:val="24"/>
          <w:szCs w:val="24"/>
        </w:rPr>
        <w:t>WAŻNOŚCI zmiany.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2. ZYSKANIE ZWOLENNIKÓW ZMIANY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Wprowadzenie zmiany wymaga działań zespołu. Należy starannie dobrać lu</w:t>
      </w:r>
      <w:r w:rsidR="009350B8">
        <w:rPr>
          <w:sz w:val="24"/>
          <w:szCs w:val="24"/>
        </w:rPr>
        <w:t>dzi, aby </w:t>
      </w:r>
      <w:r>
        <w:rPr>
          <w:sz w:val="24"/>
          <w:szCs w:val="24"/>
        </w:rPr>
        <w:t xml:space="preserve">w zespole znalazły się </w:t>
      </w:r>
      <w:r w:rsidRPr="00C4365C">
        <w:rPr>
          <w:sz w:val="24"/>
          <w:szCs w:val="24"/>
        </w:rPr>
        <w:t xml:space="preserve">osoby zaangażowane. </w:t>
      </w:r>
      <w:r w:rsidR="009350B8">
        <w:rPr>
          <w:sz w:val="24"/>
          <w:szCs w:val="24"/>
        </w:rPr>
        <w:t>Ważne jest, aby współpracować z </w:t>
      </w:r>
      <w:r w:rsidRPr="00C4365C">
        <w:rPr>
          <w:sz w:val="24"/>
          <w:szCs w:val="24"/>
        </w:rPr>
        <w:t>osobami popierającym</w:t>
      </w:r>
      <w:r>
        <w:rPr>
          <w:sz w:val="24"/>
          <w:szCs w:val="24"/>
        </w:rPr>
        <w:t xml:space="preserve">i zmiany, jak i z mogącymi nimi </w:t>
      </w:r>
      <w:r w:rsidRPr="00C4365C">
        <w:rPr>
          <w:sz w:val="24"/>
          <w:szCs w:val="24"/>
        </w:rPr>
        <w:t>skutecznie kierować. Na tym etapie bardzo istotne jest wykształcenie umiejętności pracy zespołowej.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3. USTALENIE WIZJI PRZYSZŁOŚCI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Wizja to proste określenie wyobrażonego stanu organizacji po zmianie. Dobra wiz</w:t>
      </w:r>
      <w:r>
        <w:rPr>
          <w:sz w:val="24"/>
          <w:szCs w:val="24"/>
        </w:rPr>
        <w:t xml:space="preserve">ja kieruje się działaniem całej </w:t>
      </w:r>
      <w:r w:rsidRPr="00C4365C">
        <w:rPr>
          <w:sz w:val="24"/>
          <w:szCs w:val="24"/>
        </w:rPr>
        <w:t>organizacji. Prawdziwa wizja powinna spełniać kilka kryteriów: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– musi być zrozumiała dla każdego pracownika;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– musi dawać możliwość realizowania się (wykazania swoimi kompetencjami);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– musi zawierać ideę moralną;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– musi służyć rozwojowi pracowników.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Ważne jest, aby wizję tworzył cały zespół i aby osoby wprowadzające zmiany identyfikowały się ze stworzoną wizją.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4. KOMUNIKOWANIE NOWEGO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Jednym z najważniejszych czynników powodzenia jest komunikowanie wizji i zmian. Nale</w:t>
      </w:r>
      <w:r>
        <w:rPr>
          <w:sz w:val="24"/>
          <w:szCs w:val="24"/>
        </w:rPr>
        <w:t xml:space="preserve">ży dotrzeć do jak największej </w:t>
      </w:r>
      <w:r w:rsidRPr="00C4365C">
        <w:rPr>
          <w:sz w:val="24"/>
          <w:szCs w:val="24"/>
        </w:rPr>
        <w:t xml:space="preserve">liczy osób, których zmiana dotyczy i powtarzać wizję. Komunikacja </w:t>
      </w:r>
      <w:r>
        <w:rPr>
          <w:sz w:val="24"/>
          <w:szCs w:val="24"/>
        </w:rPr>
        <w:t xml:space="preserve">powinna być prosta, emocjonalna </w:t>
      </w:r>
      <w:r w:rsidRPr="00C4365C">
        <w:rPr>
          <w:sz w:val="24"/>
          <w:szCs w:val="24"/>
        </w:rPr>
        <w:t>i pokazywać korzyści zarówno dla całej organizacji, jak i dla poszczególnych osób, związanych z ich realizacją.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Celem tego kroku jest nie tylko zrozumienie wizji, ale ich inspirowanie i angażowanie w dalszą realizację.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9350B8" w:rsidRDefault="009350B8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lastRenderedPageBreak/>
        <w:t>KROK 5. MOBILIZOWANIE DO DZIAŁANIA I USUWANIE BARIER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Prawie każda zmiana napotyka na różne bariery. Są to nie tylko bariery psycholog</w:t>
      </w:r>
      <w:r>
        <w:rPr>
          <w:sz w:val="24"/>
          <w:szCs w:val="24"/>
        </w:rPr>
        <w:t xml:space="preserve">iczne, ale również informacyjne </w:t>
      </w:r>
      <w:r w:rsidRPr="00C4365C">
        <w:rPr>
          <w:sz w:val="24"/>
          <w:szCs w:val="24"/>
        </w:rPr>
        <w:t>oraz tzw. bariera szefa, czy brak współpracy w zespole itp. Na tym etapie należy badać klimat wokół zmian, prowadzićwiele rozmów i rozwiewać wszelkie obawy. Przydaje się też umiejętność słuch</w:t>
      </w:r>
      <w:r>
        <w:rPr>
          <w:sz w:val="24"/>
          <w:szCs w:val="24"/>
        </w:rPr>
        <w:t xml:space="preserve">ania, zrozumienia i chęć pomocy </w:t>
      </w:r>
      <w:r w:rsidRPr="00C4365C">
        <w:rPr>
          <w:sz w:val="24"/>
          <w:szCs w:val="24"/>
        </w:rPr>
        <w:t>w uświadomieniu konsekwencji braku zmiany. Kluczowe na tym etapie jest zapewnienie wzajemnego wsparcia.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6. ZAPEWNIENIE NIEWIELKIEGO SUKCESU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Należy motywować ludzi do działania, nawet niewielk</w:t>
      </w:r>
      <w:r w:rsidR="009350B8">
        <w:rPr>
          <w:sz w:val="24"/>
          <w:szCs w:val="24"/>
        </w:rPr>
        <w:t>i sukces daje dodatkowe siły do </w:t>
      </w:r>
      <w:r>
        <w:rPr>
          <w:sz w:val="24"/>
          <w:szCs w:val="24"/>
        </w:rPr>
        <w:t xml:space="preserve">pracy i zapobiega zniechęceniu. </w:t>
      </w:r>
      <w:r w:rsidRPr="00C4365C">
        <w:rPr>
          <w:sz w:val="24"/>
          <w:szCs w:val="24"/>
        </w:rPr>
        <w:t>Na tym etapie warto pokazywać pozytywne aspekty, uświadamiać m</w:t>
      </w:r>
      <w:r>
        <w:rPr>
          <w:sz w:val="24"/>
          <w:szCs w:val="24"/>
        </w:rPr>
        <w:t xml:space="preserve">ocne strony i prowadzić rozmowy </w:t>
      </w:r>
      <w:r w:rsidRPr="00C4365C">
        <w:rPr>
          <w:sz w:val="24"/>
          <w:szCs w:val="24"/>
        </w:rPr>
        <w:t>motywujące. Pokazywanie sukcesów i nagłaśnianie ich jest również metod</w:t>
      </w:r>
      <w:r>
        <w:rPr>
          <w:sz w:val="24"/>
          <w:szCs w:val="24"/>
        </w:rPr>
        <w:t xml:space="preserve">ą uwiarygodniającą, że kierunek </w:t>
      </w:r>
      <w:r w:rsidRPr="00C4365C">
        <w:rPr>
          <w:sz w:val="24"/>
          <w:szCs w:val="24"/>
        </w:rPr>
        <w:t>zmian jest właściwy.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7. WYTRWAŁE DZIAŁANIA</w:t>
      </w: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Często pierwsze sukcesy usypiają naszą czujność. Tymczasem jest to dobra o</w:t>
      </w:r>
      <w:r>
        <w:rPr>
          <w:sz w:val="24"/>
          <w:szCs w:val="24"/>
        </w:rPr>
        <w:t xml:space="preserve">kazja do wprowadzania kolejnych </w:t>
      </w:r>
      <w:r w:rsidRPr="00C4365C">
        <w:rPr>
          <w:sz w:val="24"/>
          <w:szCs w:val="24"/>
        </w:rPr>
        <w:t>działań z programu wdrażanych zmian. Szczególnie ważna na tym etapie jest wytrwał</w:t>
      </w:r>
      <w:r>
        <w:rPr>
          <w:sz w:val="24"/>
          <w:szCs w:val="24"/>
        </w:rPr>
        <w:t xml:space="preserve">ość i elastyczność w reagowaniu </w:t>
      </w:r>
      <w:r w:rsidRPr="00C4365C">
        <w:rPr>
          <w:sz w:val="24"/>
          <w:szCs w:val="24"/>
        </w:rPr>
        <w:t>na pojawiające się problemy.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KROK 8. UTRWALANIE ZMIANY</w:t>
      </w:r>
    </w:p>
    <w:p w:rsidR="00C4365C" w:rsidRDefault="00C4365C" w:rsidP="00C4365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Ostatni etap zmiany to utrwalenie nowych praktyk, postaw i powstałej kult</w:t>
      </w:r>
      <w:r>
        <w:rPr>
          <w:sz w:val="24"/>
          <w:szCs w:val="24"/>
        </w:rPr>
        <w:t xml:space="preserve">ury. Nowa rzeczywistość oznacza </w:t>
      </w:r>
      <w:r w:rsidRPr="00C4365C">
        <w:rPr>
          <w:sz w:val="24"/>
          <w:szCs w:val="24"/>
        </w:rPr>
        <w:t>korzystanie z wdrożon</w:t>
      </w:r>
      <w:r w:rsidR="009350B8">
        <w:rPr>
          <w:sz w:val="24"/>
          <w:szCs w:val="24"/>
        </w:rPr>
        <w:t>ych zmian oraz niepowracanie do </w:t>
      </w:r>
      <w:r w:rsidRPr="00C4365C">
        <w:rPr>
          <w:sz w:val="24"/>
          <w:szCs w:val="24"/>
        </w:rPr>
        <w:t>starych nawyków i przyzwyczajeń.</w:t>
      </w:r>
    </w:p>
    <w:p w:rsid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C4365C" w:rsidRP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sz w:val="24"/>
          <w:szCs w:val="24"/>
        </w:rPr>
      </w:pPr>
      <w:r w:rsidRPr="00C4365C">
        <w:rPr>
          <w:b/>
          <w:sz w:val="24"/>
          <w:szCs w:val="24"/>
        </w:rPr>
        <w:t>POŁĄCZENIE MODELU KOTTERA Z MODELEM LEWINA</w:t>
      </w:r>
    </w:p>
    <w:p w:rsidR="00C4365C" w:rsidRPr="00C4365C" w:rsidRDefault="00C4365C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C4365C">
        <w:rPr>
          <w:sz w:val="24"/>
          <w:szCs w:val="24"/>
        </w:rPr>
        <w:t>Model opracowany przez Kottera wpasowuje się w szerszy kontekst zmian</w:t>
      </w:r>
      <w:r>
        <w:rPr>
          <w:sz w:val="24"/>
          <w:szCs w:val="24"/>
        </w:rPr>
        <w:t xml:space="preserve">y niż model trzyetapowy procesu </w:t>
      </w:r>
      <w:r w:rsidRPr="00C4365C">
        <w:rPr>
          <w:sz w:val="24"/>
          <w:szCs w:val="24"/>
        </w:rPr>
        <w:t>zmiany według Kurta Lewina.</w:t>
      </w:r>
    </w:p>
    <w:p w:rsidR="00C4365C" w:rsidRDefault="005574C4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Poniżej przedstawiamy p</w:t>
      </w:r>
      <w:r w:rsidR="00C4365C" w:rsidRPr="00C4365C">
        <w:rPr>
          <w:sz w:val="24"/>
          <w:szCs w:val="24"/>
        </w:rPr>
        <w:t>ołączenie modelu ośmiu kroków Kottera z trzyetapowym procesem zmian Lewina</w:t>
      </w:r>
      <w:r>
        <w:rPr>
          <w:sz w:val="24"/>
          <w:szCs w:val="24"/>
        </w:rPr>
        <w:t>.</w:t>
      </w:r>
    </w:p>
    <w:p w:rsidR="005574C4" w:rsidRDefault="005574C4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5574C4" w:rsidRDefault="005574C4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5574C4" w:rsidRDefault="005574C4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5574C4" w:rsidRDefault="005574C4" w:rsidP="00C4365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:rsidR="005574C4" w:rsidRDefault="005574C4" w:rsidP="005574C4">
      <w:pPr>
        <w:autoSpaceDE w:val="0"/>
        <w:autoSpaceDN w:val="0"/>
        <w:adjustRightInd w:val="0"/>
        <w:spacing w:before="120" w:after="120" w:line="360" w:lineRule="auto"/>
        <w:ind w:left="-851"/>
        <w:jc w:val="both"/>
        <w:rPr>
          <w:sz w:val="24"/>
          <w:szCs w:val="24"/>
        </w:rPr>
      </w:pPr>
      <w:r w:rsidRPr="005574C4">
        <w:rPr>
          <w:noProof/>
          <w:sz w:val="24"/>
          <w:szCs w:val="24"/>
          <w:lang w:eastAsia="pl-PL"/>
        </w:rPr>
        <w:drawing>
          <wp:inline distT="0" distB="0" distL="0" distR="0">
            <wp:extent cx="6496465" cy="4000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949" cy="40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C4" w:rsidRDefault="005574C4" w:rsidP="005574C4">
      <w:pPr>
        <w:autoSpaceDE w:val="0"/>
        <w:autoSpaceDN w:val="0"/>
        <w:adjustRightInd w:val="0"/>
        <w:spacing w:after="0" w:line="240" w:lineRule="auto"/>
        <w:rPr>
          <w:rFonts w:ascii="MyriadPro-LightIt" w:hAnsi="MyriadPro-LightIt" w:cs="MyriadPro-LightIt"/>
          <w:i/>
          <w:iCs/>
          <w:sz w:val="20"/>
          <w:szCs w:val="20"/>
        </w:rPr>
      </w:pPr>
      <w:r>
        <w:rPr>
          <w:rFonts w:ascii="MyriadPro-LightIt" w:hAnsi="MyriadPro-LightIt" w:cs="MyriadPro-LightIt"/>
          <w:i/>
          <w:iCs/>
          <w:sz w:val="20"/>
          <w:szCs w:val="20"/>
        </w:rPr>
        <w:t xml:space="preserve">Źródło: Opracowanie Z. Domaradzka-Grochowalska na podstawie J. Kotter, P. Mueller, H. Rathgeber, </w:t>
      </w:r>
      <w:r>
        <w:rPr>
          <w:rFonts w:ascii="MyriadPro-Light" w:hAnsi="MyriadPro-Light" w:cs="MyriadPro-Light"/>
          <w:sz w:val="20"/>
          <w:szCs w:val="20"/>
        </w:rPr>
        <w:t>Gdy góra lodowa topnieje. Wprowadzanie zmian w każdych okolicznościach</w:t>
      </w:r>
      <w:r>
        <w:rPr>
          <w:rFonts w:ascii="MyriadPro-LightIt" w:hAnsi="MyriadPro-LightIt" w:cs="MyriadPro-LightIt"/>
          <w:i/>
          <w:iCs/>
          <w:sz w:val="20"/>
          <w:szCs w:val="20"/>
        </w:rPr>
        <w:t>, Wydawnictwo Helion, Gliwice 2008.</w:t>
      </w:r>
    </w:p>
    <w:p w:rsidR="005574C4" w:rsidRDefault="005574C4" w:rsidP="005574C4">
      <w:pPr>
        <w:autoSpaceDE w:val="0"/>
        <w:autoSpaceDN w:val="0"/>
        <w:adjustRightInd w:val="0"/>
        <w:spacing w:after="0" w:line="240" w:lineRule="auto"/>
        <w:rPr>
          <w:rFonts w:ascii="MyriadPro-LightIt" w:hAnsi="MyriadPro-LightIt" w:cs="MyriadPro-LightIt"/>
          <w:i/>
          <w:iCs/>
          <w:sz w:val="20"/>
          <w:szCs w:val="20"/>
        </w:rPr>
      </w:pPr>
    </w:p>
    <w:p w:rsidR="005574C4" w:rsidRDefault="005574C4" w:rsidP="005574C4">
      <w:pPr>
        <w:autoSpaceDE w:val="0"/>
        <w:autoSpaceDN w:val="0"/>
        <w:adjustRightInd w:val="0"/>
        <w:spacing w:after="0" w:line="240" w:lineRule="auto"/>
        <w:rPr>
          <w:rFonts w:ascii="MyriadPro-LightIt" w:hAnsi="MyriadPro-LightIt" w:cs="MyriadPro-LightIt"/>
          <w:i/>
          <w:iCs/>
          <w:sz w:val="20"/>
          <w:szCs w:val="20"/>
        </w:rPr>
      </w:pPr>
    </w:p>
    <w:sectPr w:rsidR="005574C4" w:rsidSect="0008167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E0" w:rsidRDefault="00B166E0" w:rsidP="00C4365C">
      <w:pPr>
        <w:spacing w:after="0" w:line="240" w:lineRule="auto"/>
      </w:pPr>
      <w:r>
        <w:separator/>
      </w:r>
    </w:p>
  </w:endnote>
  <w:endnote w:type="continuationSeparator" w:id="0">
    <w:p w:rsidR="00B166E0" w:rsidRDefault="00B166E0" w:rsidP="00C4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metr415LtPL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66433"/>
      <w:docPartObj>
        <w:docPartGallery w:val="Page Numbers (Bottom of Page)"/>
        <w:docPartUnique/>
      </w:docPartObj>
    </w:sdtPr>
    <w:sdtContent>
      <w:p w:rsidR="009350B8" w:rsidRDefault="009350B8">
        <w:pPr>
          <w:pStyle w:val="Stopka"/>
          <w:jc w:val="right"/>
        </w:pPr>
        <w:fldSimple w:instr=" PAGE   \* MERGEFORMAT ">
          <w:r w:rsidR="00740704">
            <w:rPr>
              <w:noProof/>
            </w:rPr>
            <w:t>1</w:t>
          </w:r>
        </w:fldSimple>
      </w:p>
    </w:sdtContent>
  </w:sdt>
  <w:p w:rsidR="009350B8" w:rsidRDefault="009350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E0" w:rsidRDefault="00B166E0" w:rsidP="00C4365C">
      <w:pPr>
        <w:spacing w:after="0" w:line="240" w:lineRule="auto"/>
      </w:pPr>
      <w:r>
        <w:separator/>
      </w:r>
    </w:p>
  </w:footnote>
  <w:footnote w:type="continuationSeparator" w:id="0">
    <w:p w:rsidR="00B166E0" w:rsidRDefault="00B166E0" w:rsidP="00C4365C">
      <w:pPr>
        <w:spacing w:after="0" w:line="240" w:lineRule="auto"/>
      </w:pPr>
      <w:r>
        <w:continuationSeparator/>
      </w:r>
    </w:p>
  </w:footnote>
  <w:footnote w:id="1">
    <w:p w:rsidR="00C4365C" w:rsidRPr="001D7FAC" w:rsidRDefault="00C4365C" w:rsidP="00C4365C">
      <w:pPr>
        <w:spacing w:line="276" w:lineRule="auto"/>
        <w:rPr>
          <w:rFonts w:ascii="Calibri" w:hAnsi="Calibri"/>
          <w:sz w:val="20"/>
          <w:szCs w:val="20"/>
        </w:rPr>
      </w:pPr>
      <w:r w:rsidRPr="004B47E2">
        <w:rPr>
          <w:rFonts w:ascii="Calibri" w:hAnsi="Calibri"/>
          <w:sz w:val="20"/>
          <w:szCs w:val="20"/>
          <w:vertAlign w:val="superscript"/>
        </w:rPr>
        <w:footnoteRef/>
      </w:r>
      <w:r w:rsidRPr="001D7FAC">
        <w:rPr>
          <w:rFonts w:ascii="Calibri" w:hAnsi="Calibri"/>
          <w:sz w:val="20"/>
          <w:szCs w:val="20"/>
        </w:rPr>
        <w:t xml:space="preserve"> Za: Armstrong M</w:t>
      </w:r>
      <w:r>
        <w:rPr>
          <w:rFonts w:ascii="Calibri" w:hAnsi="Calibri"/>
          <w:sz w:val="20"/>
          <w:szCs w:val="20"/>
        </w:rPr>
        <w:t xml:space="preserve">., (2011, s. 375). </w:t>
      </w:r>
    </w:p>
    <w:p w:rsidR="00C4365C" w:rsidRPr="001D7FAC" w:rsidRDefault="00C4365C" w:rsidP="00C4365C">
      <w:pPr>
        <w:pStyle w:val="Tekstprzypisudolnego"/>
        <w:rPr>
          <w:lang w:val="pl-PL"/>
        </w:rPr>
      </w:pPr>
    </w:p>
  </w:footnote>
  <w:footnote w:id="2">
    <w:p w:rsidR="00C4365C" w:rsidRPr="00C4365C" w:rsidRDefault="00C4365C" w:rsidP="005574C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Za: </w:t>
      </w:r>
      <w:r w:rsidR="005574C4">
        <w:rPr>
          <w:lang w:val="pl-PL"/>
        </w:rPr>
        <w:t xml:space="preserve">JAK WSPOMAGAĆ PRACĘ SZKOŁY? Poradnik dla pracowników </w:t>
      </w:r>
      <w:r w:rsidR="005574C4" w:rsidRPr="005574C4">
        <w:rPr>
          <w:lang w:val="pl-PL"/>
        </w:rPr>
        <w:t>instytucji systemu wspomagania</w:t>
      </w:r>
      <w:r w:rsidR="005574C4">
        <w:rPr>
          <w:lang w:val="pl-PL"/>
        </w:rPr>
        <w:t xml:space="preserve">. Zeszyt 1:  ZAŁOŻENIA NOWEGO SYSTEMU DOSKONALENIA </w:t>
      </w:r>
      <w:r w:rsidR="005574C4" w:rsidRPr="005574C4">
        <w:rPr>
          <w:lang w:val="pl-PL"/>
        </w:rPr>
        <w:t>NAUCZYCIELI</w:t>
      </w:r>
      <w:r w:rsidR="005574C4">
        <w:rPr>
          <w:lang w:val="pl-PL"/>
        </w:rPr>
        <w:t>. Ośrodek Rozwoju Edukacji, Warszawa, 2015, str. 28-29.</w:t>
      </w:r>
    </w:p>
  </w:footnote>
  <w:footnote w:id="3">
    <w:p w:rsidR="00C4365C" w:rsidRPr="00C4365C" w:rsidRDefault="00C4365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C436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65C">
        <w:rPr>
          <w:rFonts w:ascii="Arial" w:hAnsi="Arial" w:cs="Arial"/>
          <w:sz w:val="18"/>
          <w:szCs w:val="18"/>
        </w:rPr>
        <w:t xml:space="preserve">J. Kotter, </w:t>
      </w:r>
      <w:r w:rsidRPr="00C4365C">
        <w:rPr>
          <w:rFonts w:ascii="Arial" w:hAnsi="Arial" w:cs="Arial"/>
          <w:iCs/>
          <w:sz w:val="18"/>
          <w:szCs w:val="18"/>
        </w:rPr>
        <w:t>Jak przeprowadzić transformację firmy</w:t>
      </w:r>
      <w:r w:rsidRPr="00C4365C">
        <w:rPr>
          <w:rFonts w:ascii="Arial" w:hAnsi="Arial" w:cs="Arial"/>
          <w:sz w:val="18"/>
          <w:szCs w:val="18"/>
        </w:rPr>
        <w:t>, Helion, Gliwice 2012, s. 256-260.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8" w:rsidRDefault="009350B8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5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C45"/>
    <w:multiLevelType w:val="hybridMultilevel"/>
    <w:tmpl w:val="5374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7DEA"/>
    <w:multiLevelType w:val="hybridMultilevel"/>
    <w:tmpl w:val="001E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9524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5C"/>
    <w:rsid w:val="00081672"/>
    <w:rsid w:val="003B6EBB"/>
    <w:rsid w:val="005574C4"/>
    <w:rsid w:val="00740704"/>
    <w:rsid w:val="009350B8"/>
    <w:rsid w:val="009D278A"/>
    <w:rsid w:val="00B166E0"/>
    <w:rsid w:val="00C4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72"/>
  </w:style>
  <w:style w:type="paragraph" w:styleId="Nagwek1">
    <w:name w:val="heading 1"/>
    <w:basedOn w:val="Normalny"/>
    <w:next w:val="Normalny"/>
    <w:link w:val="Nagwek1Znak"/>
    <w:qFormat/>
    <w:rsid w:val="00C4365C"/>
    <w:pPr>
      <w:keepNext/>
      <w:numPr>
        <w:numId w:val="2"/>
      </w:numPr>
      <w:spacing w:before="240" w:after="60" w:line="240" w:lineRule="auto"/>
      <w:outlineLvl w:val="0"/>
    </w:pPr>
    <w:rPr>
      <w:rFonts w:eastAsia="Times New Roman" w:cs="Times New Roman"/>
      <w:b/>
      <w:bCs/>
      <w:color w:val="auto"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C4365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C4365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C4365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C4365C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qFormat/>
    <w:rsid w:val="00C4365C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qFormat/>
    <w:rsid w:val="00C4365C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auto"/>
      <w:sz w:val="24"/>
      <w:szCs w:val="24"/>
      <w:lang/>
    </w:rPr>
  </w:style>
  <w:style w:type="paragraph" w:styleId="Nagwek8">
    <w:name w:val="heading 8"/>
    <w:basedOn w:val="Normalny"/>
    <w:next w:val="Normalny"/>
    <w:link w:val="Nagwek8Znak"/>
    <w:qFormat/>
    <w:rsid w:val="00C4365C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auto"/>
      <w:sz w:val="24"/>
      <w:szCs w:val="24"/>
      <w:lang/>
    </w:rPr>
  </w:style>
  <w:style w:type="paragraph" w:styleId="Nagwek9">
    <w:name w:val="heading 9"/>
    <w:basedOn w:val="Normalny"/>
    <w:next w:val="Normalny"/>
    <w:link w:val="Nagwek9Znak"/>
    <w:qFormat/>
    <w:rsid w:val="00C4365C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65C"/>
    <w:rPr>
      <w:rFonts w:eastAsia="Times New Roman" w:cs="Times New Roman"/>
      <w:b/>
      <w:bCs/>
      <w:color w:val="auto"/>
      <w:kern w:val="32"/>
      <w:sz w:val="32"/>
      <w:szCs w:val="32"/>
      <w:lang/>
    </w:rPr>
  </w:style>
  <w:style w:type="character" w:customStyle="1" w:styleId="Nagwek2Znak">
    <w:name w:val="Nagłówek 2 Znak"/>
    <w:basedOn w:val="Domylnaczcionkaakapitu"/>
    <w:link w:val="Nagwek2"/>
    <w:rsid w:val="00C4365C"/>
    <w:rPr>
      <w:rFonts w:ascii="Cambria" w:eastAsia="Times New Roman" w:hAnsi="Cambria" w:cs="Times New Roman"/>
      <w:b/>
      <w:bCs/>
      <w:i/>
      <w:iCs/>
      <w:color w:val="auto"/>
      <w:sz w:val="28"/>
      <w:szCs w:val="28"/>
      <w:lang/>
    </w:rPr>
  </w:style>
  <w:style w:type="character" w:customStyle="1" w:styleId="Nagwek3Znak">
    <w:name w:val="Nagłówek 3 Znak"/>
    <w:basedOn w:val="Domylnaczcionkaakapitu"/>
    <w:link w:val="Nagwek3"/>
    <w:rsid w:val="00C4365C"/>
    <w:rPr>
      <w:rFonts w:ascii="Cambria" w:eastAsia="Times New Roman" w:hAnsi="Cambria" w:cs="Times New Roman"/>
      <w:b/>
      <w:bCs/>
      <w:color w:val="auto"/>
      <w:sz w:val="26"/>
      <w:szCs w:val="26"/>
      <w:lang/>
    </w:rPr>
  </w:style>
  <w:style w:type="character" w:customStyle="1" w:styleId="Nagwek4Znak">
    <w:name w:val="Nagłówek 4 Znak"/>
    <w:basedOn w:val="Domylnaczcionkaakapitu"/>
    <w:link w:val="Nagwek4"/>
    <w:rsid w:val="00C4365C"/>
    <w:rPr>
      <w:rFonts w:ascii="Calibri" w:eastAsia="Times New Roman" w:hAnsi="Calibri" w:cs="Times New Roman"/>
      <w:b/>
      <w:bCs/>
      <w:color w:val="auto"/>
      <w:sz w:val="28"/>
      <w:szCs w:val="28"/>
      <w:lang/>
    </w:rPr>
  </w:style>
  <w:style w:type="character" w:customStyle="1" w:styleId="Nagwek5Znak">
    <w:name w:val="Nagłówek 5 Znak"/>
    <w:basedOn w:val="Domylnaczcionkaakapitu"/>
    <w:link w:val="Nagwek5"/>
    <w:rsid w:val="00C4365C"/>
    <w:rPr>
      <w:rFonts w:ascii="Calibri" w:eastAsia="Times New Roman" w:hAnsi="Calibri" w:cs="Times New Roman"/>
      <w:b/>
      <w:bCs/>
      <w:i/>
      <w:iCs/>
      <w:color w:val="auto"/>
      <w:sz w:val="26"/>
      <w:szCs w:val="26"/>
      <w:lang/>
    </w:rPr>
  </w:style>
  <w:style w:type="character" w:customStyle="1" w:styleId="Nagwek6Znak">
    <w:name w:val="Nagłówek 6 Znak"/>
    <w:basedOn w:val="Domylnaczcionkaakapitu"/>
    <w:link w:val="Nagwek6"/>
    <w:rsid w:val="00C4365C"/>
    <w:rPr>
      <w:rFonts w:ascii="Calibri" w:eastAsia="Times New Roman" w:hAnsi="Calibri" w:cs="Times New Roman"/>
      <w:b/>
      <w:bCs/>
      <w:color w:val="auto"/>
      <w:sz w:val="22"/>
      <w:szCs w:val="22"/>
      <w:lang/>
    </w:rPr>
  </w:style>
  <w:style w:type="character" w:customStyle="1" w:styleId="Nagwek7Znak">
    <w:name w:val="Nagłówek 7 Znak"/>
    <w:basedOn w:val="Domylnaczcionkaakapitu"/>
    <w:link w:val="Nagwek7"/>
    <w:rsid w:val="00C4365C"/>
    <w:rPr>
      <w:rFonts w:ascii="Calibri" w:eastAsia="Times New Roman" w:hAnsi="Calibri" w:cs="Times New Roman"/>
      <w:color w:val="auto"/>
      <w:sz w:val="24"/>
      <w:szCs w:val="24"/>
      <w:lang/>
    </w:rPr>
  </w:style>
  <w:style w:type="character" w:customStyle="1" w:styleId="Nagwek8Znak">
    <w:name w:val="Nagłówek 8 Znak"/>
    <w:basedOn w:val="Domylnaczcionkaakapitu"/>
    <w:link w:val="Nagwek8"/>
    <w:rsid w:val="00C4365C"/>
    <w:rPr>
      <w:rFonts w:ascii="Calibri" w:eastAsia="Times New Roman" w:hAnsi="Calibri" w:cs="Times New Roman"/>
      <w:i/>
      <w:iCs/>
      <w:color w:val="auto"/>
      <w:sz w:val="24"/>
      <w:szCs w:val="24"/>
      <w:lang/>
    </w:rPr>
  </w:style>
  <w:style w:type="character" w:customStyle="1" w:styleId="Nagwek9Znak">
    <w:name w:val="Nagłówek 9 Znak"/>
    <w:basedOn w:val="Domylnaczcionkaakapitu"/>
    <w:link w:val="Nagwek9"/>
    <w:rsid w:val="00C4365C"/>
    <w:rPr>
      <w:rFonts w:ascii="Cambria" w:eastAsia="Times New Roman" w:hAnsi="Cambria" w:cs="Times New Roman"/>
      <w:color w:val="auto"/>
      <w:sz w:val="22"/>
      <w:szCs w:val="22"/>
      <w:lang/>
    </w:rPr>
  </w:style>
  <w:style w:type="paragraph" w:styleId="Tekstprzypisudolnego">
    <w:name w:val="footnote text"/>
    <w:basedOn w:val="Normalny"/>
    <w:link w:val="TekstprzypisudolnegoZnak"/>
    <w:unhideWhenUsed/>
    <w:rsid w:val="00C4365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65C"/>
    <w:rPr>
      <w:rFonts w:ascii="Calibri" w:eastAsia="Calibri" w:hAnsi="Calibri" w:cs="Times New Roman"/>
      <w:color w:val="auto"/>
      <w:sz w:val="20"/>
      <w:szCs w:val="20"/>
      <w:lang/>
    </w:rPr>
  </w:style>
  <w:style w:type="character" w:styleId="Odwoanieprzypisudolnego">
    <w:name w:val="footnote reference"/>
    <w:unhideWhenUsed/>
    <w:rsid w:val="00C4365C"/>
    <w:rPr>
      <w:vertAlign w:val="superscript"/>
    </w:rPr>
  </w:style>
  <w:style w:type="character" w:customStyle="1" w:styleId="c27">
    <w:name w:val="c27"/>
    <w:basedOn w:val="Domylnaczcionkaakapitu"/>
    <w:rsid w:val="00C4365C"/>
  </w:style>
  <w:style w:type="paragraph" w:customStyle="1" w:styleId="formularztekstbezwciecia">
    <w:name w:val="formularz tekst bez wciecia"/>
    <w:basedOn w:val="Normalny"/>
    <w:rsid w:val="00C4365C"/>
    <w:pPr>
      <w:widowControl w:val="0"/>
      <w:autoSpaceDE w:val="0"/>
      <w:autoSpaceDN w:val="0"/>
      <w:adjustRightInd w:val="0"/>
      <w:spacing w:after="0" w:line="276" w:lineRule="atLeast"/>
      <w:jc w:val="both"/>
      <w:textAlignment w:val="center"/>
    </w:pPr>
    <w:rPr>
      <w:rFonts w:ascii="Geometr415LtPL" w:eastAsia="Times New Roman" w:hAnsi="Geometr415LtPL" w:cs="Times New Roman"/>
      <w:color w:val="000000"/>
      <w:sz w:val="22"/>
      <w:szCs w:val="22"/>
      <w:lang w:eastAsia="pl-PL"/>
    </w:rPr>
  </w:style>
  <w:style w:type="paragraph" w:customStyle="1" w:styleId="formularztytul2">
    <w:name w:val="formularz tytul 2"/>
    <w:basedOn w:val="Normalny"/>
    <w:rsid w:val="00C4365C"/>
    <w:pPr>
      <w:widowControl w:val="0"/>
      <w:suppressAutoHyphens/>
      <w:autoSpaceDE w:val="0"/>
      <w:autoSpaceDN w:val="0"/>
      <w:adjustRightInd w:val="0"/>
      <w:spacing w:before="340" w:after="113" w:line="288" w:lineRule="auto"/>
      <w:textAlignment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3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0B8"/>
  </w:style>
  <w:style w:type="paragraph" w:styleId="Stopka">
    <w:name w:val="footer"/>
    <w:basedOn w:val="Normalny"/>
    <w:link w:val="StopkaZnak"/>
    <w:uiPriority w:val="99"/>
    <w:unhideWhenUsed/>
    <w:rsid w:val="0093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060B-B83A-4A57-8CC9-3B98BDBF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dcterms:created xsi:type="dcterms:W3CDTF">2017-12-26T17:15:00Z</dcterms:created>
  <dcterms:modified xsi:type="dcterms:W3CDTF">2018-03-09T07:46:00Z</dcterms:modified>
</cp:coreProperties>
</file>